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 xml:space="preserve">附件1 </w:t>
      </w:r>
    </w:p>
    <w:p>
      <w:pPr>
        <w:spacing w:line="560" w:lineRule="exact"/>
        <w:jc w:val="center"/>
        <w:rPr>
          <w:rFonts w:hint="eastAsia" w:ascii="方正小标宋简体" w:eastAsia="方正小标宋简体" w:cs="黑体"/>
          <w:bCs/>
          <w:color w:val="000000"/>
          <w:kern w:val="0"/>
          <w:sz w:val="44"/>
          <w:szCs w:val="44"/>
          <w:lang w:bidi="ar-SA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黑体"/>
          <w:bCs/>
          <w:color w:val="000000"/>
          <w:kern w:val="0"/>
          <w:sz w:val="44"/>
          <w:szCs w:val="44"/>
          <w:lang w:bidi="ar-SA"/>
        </w:rPr>
        <w:t>化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妆品电子商务平台违法行为制止报告表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ind w:firstLine="480" w:firstLineChars="15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化妆品电子商务平台</w:t>
      </w:r>
      <w:r>
        <w:rPr>
          <w:rFonts w:eastAsia="仿宋_GB2312"/>
          <w:bCs/>
          <w:color w:val="000000"/>
          <w:kern w:val="0"/>
          <w:sz w:val="32"/>
          <w:szCs w:val="32"/>
        </w:rPr>
        <w:t>名称（公章）：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3"/>
        <w:tblW w:w="13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84"/>
        <w:gridCol w:w="1375"/>
        <w:gridCol w:w="1984"/>
        <w:gridCol w:w="1309"/>
        <w:gridCol w:w="1765"/>
        <w:gridCol w:w="4068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涉嫌违法化妆品名称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平台内经营者名称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平台内经营者实际经营所在地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主要的涉嫌违法行为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已做出的处置</w:t>
            </w:r>
          </w:p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措施</w:t>
            </w:r>
          </w:p>
        </w:tc>
        <w:tc>
          <w:tcPr>
            <w:tcW w:w="4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是否已将相关核查线索移交平台内</w:t>
            </w:r>
          </w:p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经营者实际经营所在地省级药品监管部门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相关核查线索</w:t>
            </w:r>
          </w:p>
          <w:p>
            <w:pPr>
              <w:spacing w:line="3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移交时间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黑体" w:eastAsia="黑体"/>
          <w:color w:val="00000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70AC"/>
    <w:rsid w:val="76D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2021-10-28T02:23:00Z</dcterms:created>
  <dc:creator>周菊如</dc:creator>
  <cp:lastModifiedBy>周菊如</cp:lastModifiedBy>
  <dcterms:modified xsi:type="dcterms:W3CDTF">2021-10-28T02:23:58Z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