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536" w:lineRule="atLeast"/>
        <w:jc w:val="left"/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 w:bidi="ar-SA"/>
        </w:rPr>
        <w:t>附件3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</w:pPr>
    </w:p>
    <w:p>
      <w:pPr>
        <w:spacing w:line="64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  <w:t>各市监督管理部门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kern w:val="0"/>
          <w:sz w:val="44"/>
          <w:szCs w:val="44"/>
          <w:lang w:bidi="ar-SA"/>
        </w:rPr>
        <w:t>化妆品“线上净网线下清源”专项行动联络员信息表</w:t>
      </w:r>
    </w:p>
    <w:p>
      <w:pPr>
        <w:ind w:firstLine="480" w:firstLineChars="150"/>
        <w:jc w:val="center"/>
        <w:rPr>
          <w:rFonts w:eastAsia="仿宋_GB2312"/>
          <w:bCs/>
          <w:color w:val="000000"/>
          <w:kern w:val="0"/>
          <w:sz w:val="32"/>
          <w:szCs w:val="32"/>
        </w:rPr>
      </w:pPr>
    </w:p>
    <w:p>
      <w:pPr>
        <w:ind w:firstLine="480" w:firstLineChars="15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 xml:space="preserve">单位名称（公章）：                                        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填报</w:t>
      </w:r>
      <w:r>
        <w:rPr>
          <w:rFonts w:eastAsia="仿宋_GB2312"/>
          <w:bCs/>
          <w:color w:val="000000"/>
          <w:kern w:val="0"/>
          <w:sz w:val="32"/>
          <w:szCs w:val="32"/>
        </w:rPr>
        <w:t>日期：</w:t>
      </w:r>
    </w:p>
    <w:tbl>
      <w:tblPr>
        <w:tblStyle w:val="2"/>
        <w:tblW w:w="13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700"/>
        <w:gridCol w:w="2850"/>
        <w:gridCol w:w="2835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联络员姓名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1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bCs/>
                <w:color w:val="000000"/>
                <w:kern w:val="0"/>
                <w:szCs w:val="21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noWrap w:val="0"/>
            <w:vAlign w:val="top"/>
          </w:tcPr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pacing w:line="560" w:lineRule="exact"/>
              <w:rPr>
                <w:rFonts w:eastAsia="黑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spacing w:line="590" w:lineRule="exact"/>
        <w:rPr>
          <w:rFonts w:hint="eastAsia" w:eastAsia="仿宋_GB2312"/>
          <w:color w:val="00000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12C1"/>
    <w:rsid w:val="7354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2021-10-28T02:25:00Z</dcterms:created>
  <dc:creator>周菊如</dc:creator>
  <cp:lastModifiedBy>周菊如</cp:lastModifiedBy>
  <dcterms:modified xsi:type="dcterms:W3CDTF">2021-10-28T02:25:15Z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